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Las civilizaciones del pasado, una verdadera inspiración para los juegos de cartas coleccionables 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 </w:t>
      </w:r>
    </w:p>
    <w:p>
      <w:pPr>
        <w:ind w:left="720" w:first-line="-720"/>
      </w:pPr>
      <w:r>
        <w:rPr>
          <w:rFonts w:ascii="Times" w:hAnsi="Times" w:cs="Times"/>
          <w:sz w:val="20"/>
          <w:sz-cs w:val="20"/>
          <w:i/>
        </w:rPr>
        <w:t xml:space="preserve"/>
        <w:tab/>
        <w:t xml:space="preserve">•</w:t>
        <w:tab/>
        <w:t xml:space="preserve">Los juegos de cartas tradicionales no sólo son divertidos, entretenidos y fáciles de jugar sino que en el camino ¡también se aprende historia!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b/>
        </w:rPr>
        <w:t xml:space="preserve">Ciudad de México, 19 de octubre de 2022.-</w:t>
      </w:r>
      <w:r>
        <w:rPr>
          <w:rFonts w:ascii="Times" w:hAnsi="Times" w:cs="Times"/>
          <w:sz w:val="20"/>
          <w:sz-cs w:val="20"/>
        </w:rPr>
        <w:t xml:space="preserve">  Pese a que sólo quedan vestigios de lo que alguna vez fueron, las antiguas civilizaciones siguen inspirando a millones de personas, especialmente en la cultura pop. Películas, videojuegos y libros todavía nos transportan a las grandes épocas de las culturas que marcaron al mundo como la griega, egipcia, romana, azteca y muchas más.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Uno de los sectores del entretenimiento que también se unió para conservar el</w:t>
      </w:r>
      <w:r>
        <w:rPr>
          <w:rFonts w:ascii="Times" w:hAnsi="Times" w:cs="Times"/>
          <w:sz w:val="20"/>
          <w:sz-cs w:val="20"/>
          <w:b/>
        </w:rPr>
        <w:t xml:space="preserve"> legado de estas culturas del pasado </w:t>
      </w:r>
      <w:r>
        <w:rPr>
          <w:rFonts w:ascii="Times" w:hAnsi="Times" w:cs="Times"/>
          <w:sz w:val="20"/>
          <w:sz-cs w:val="20"/>
        </w:rPr>
        <w:t xml:space="preserve">es el de los juegos de cartas coleccionables. Esta industria abrió los libros de historia para conocer su riqueza mitológica y ver de qué maneras podrían añadirlo a sus materiales, consiguiendo resultados espectaculares con piezas dignas de estar en un museo de arte.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b/>
          <w:u w:val="single"/>
          <w:color w:val="1155CC"/>
        </w:rPr>
        <w:t xml:space="preserve">Magic: The Gathering</w:t>
      </w:r>
      <w:r>
        <w:rPr>
          <w:rFonts w:ascii="Times" w:hAnsi="Times" w:cs="Times"/>
          <w:sz w:val="20"/>
          <w:sz-cs w:val="20"/>
          <w:b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(MTG)</w:t>
      </w:r>
      <w:r>
        <w:rPr>
          <w:rFonts w:ascii="Times" w:hAnsi="Times" w:cs="Times"/>
          <w:sz w:val="20"/>
          <w:sz-cs w:val="20"/>
          <w:b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es la cara de los juegos de cartas coleccionables con cerca de tres décadas de tradición y por supuesto que las antiguas civilizaciones han formado parte de sus mejores expansiones. Como cuando lanzaron “Amonkhet” y “Hour of Devastation”, dos ediciones basadas en el Antiguo Egipto con dioses, profecías, momias, faraones y peleas interdimensionales.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También está “Ixalan” otra ampliación que tiene claras raíces prehispánicas. El continente de “Ixalan” se sitúa en unas misteriosas junglas y altas montañas rodeadas por la niebla en donde diferentes facciones se pelean por el control de Orazca, la ciudad de oro. Al observar de cerca hay referencias a las leyendas de culturas como la azteca y la inca.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Mientras que “Theros”, “Born of the Gods” y “Journey into Nyx” son las colecciones que toman como pilar estético a la Grecia de los seres celestiales. Los nombres de Zeus, Hades, Artemisa, Ares o Hermes atemorizan a las personas, con estos dioses exigiendo se cumplan todos sus caprichos. Las cartas también consideran criaturas mitológicas como: minotauros, centauros, sirenas, tritones y cíclopes, entre otros.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La parte interesante es que si bien MTG usa la narrativa de estas civilizaciones, es sólo la punta del iceberg. Para cada colección, los guionistas y diseñadores mezclaron relatos únicos y elementos de la historia</w:t>
      </w:r>
      <w:r>
        <w:rPr>
          <w:rFonts w:ascii="Times" w:hAnsi="Times" w:cs="Times"/>
          <w:sz w:val="20"/>
          <w:sz-cs w:val="20"/>
          <w:i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de Magic. Por ejemplo, en “Ixalan” los guerreros tienen que cuidar sus espaldas de feroces dinosaurios, inteligentes entidades acuáticas y de una comunidad secreta de hambrientos vampiros.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En “Amonkhet”, los dioses caminan como si nada entre los mortales, las momias son sirvientes de los vivos y los egipcios llevan un entrenamiento de vida para morir en combate, lo cual es su más grande anhelo. Mientras que en “Theros” la devoción hacia los divinos pronto podría acabar y los humanos ya planean una conspiración para acabar con su dictadura física y espiritual.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Lo que han hecho desde MTG es una combinación asertiva entre realidad, mitos y ficción de su propia cosecha. De esa forma, los jugadores estudian un poco de historia al mismo tiempo que se interesan en tradiciones milenarias y se emocionan con una trama exclusiva, todo mientras disfrutan de un juego fácil de aprender que comparten con sus amigos y familiares.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¿Cuál es tu civilización favorita antigua? Deberías darle un vistazo a las cartas de </w:t>
      </w:r>
      <w:r>
        <w:rPr>
          <w:rFonts w:ascii="Times" w:hAnsi="Times" w:cs="Times"/>
          <w:sz w:val="20"/>
          <w:sz-cs w:val="20"/>
          <w:b/>
        </w:rPr>
        <w:t xml:space="preserve">Magic: The Gathering, </w:t>
      </w:r>
      <w:r>
        <w:rPr>
          <w:rFonts w:ascii="Times" w:hAnsi="Times" w:cs="Times"/>
          <w:sz w:val="20"/>
          <w:sz-cs w:val="20"/>
        </w:rPr>
        <w:t xml:space="preserve">tal vez encuentres lo que más estás buscando.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b/>
          <w:u w:val="single"/>
          <w:color w:val="2B2B2B"/>
        </w:rPr>
        <w:t xml:space="preserve">Acerca de Wizards of the Coast</w:t>
      </w:r>
    </w:p>
    <w:p>
      <w:pPr>
        <w:jc w:val="both"/>
      </w:pPr>
      <w:r>
        <w:rPr>
          <w:rFonts w:ascii="Times" w:hAnsi="Times" w:cs="Times"/>
          <w:sz w:val="20"/>
          <w:sz-cs w:val="20"/>
          <w:color w:val="2B2B2B"/>
        </w:rPr>
        <w:t xml:space="preserve">Wizards of the Coast, compañía subsidiaria de Hasbro, Inc., es desarrolladora y editora galardonada de juegos de mesa y digitales que despierta un sentido de aventura en jugadores apasionados de todo el mundo. Más conocida por publicar las franquicias de fantasía innovadoras, MAGIC: THE GATHERING® y DUNGEONS &amp; DRAGONS®, Wizards se dedica a reunir talentos de primera clase para crear experiencias de juego inolvidables en su sede en Washington y sus estudios en Austin y Montreal. Más información en </w:t>
      </w:r>
      <w:r>
        <w:rPr>
          <w:rFonts w:ascii="Times" w:hAnsi="Times" w:cs="Times"/>
          <w:sz w:val="20"/>
          <w:sz-cs w:val="20"/>
          <w:b/>
          <w:color w:val="0000FF"/>
        </w:rPr>
        <w:t xml:space="preserve">www.wizards.com</w:t>
      </w:r>
      <w:r>
        <w:rPr>
          <w:rFonts w:ascii="Times" w:hAnsi="Times" w:cs="Times"/>
          <w:sz w:val="20"/>
          <w:sz-cs w:val="20"/>
          <w:color w:val="0000FF"/>
        </w:rPr>
        <w:t xml:space="preserve">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b/>
          <w:u w:val="single"/>
        </w:rPr>
        <w:t xml:space="preserve">Acerca de HASBRO</w:t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Hasbro (NASDAQ: HAS) es una compañía global de juego y entretenimiento dedicada a crear las Mejores experiencias de Juego y entretenimiento del mundo. Desde juguetes y juegos hasta televisión, películas, juegos digitales y productos de consumo, Hasbro ofrece una variedad de formas para que el público disfrute de sus marcas emblemáticas, incluyendo NERF, MY LITTLE PONY, TRANSFORMERS, PLAY-DOH, MONOPOLY, BABY ALIVE, MAGIC: THE GATHERING y POWER RANGERS, así como sus principales marcas asociadas. A través de su sello de entretenimiento eOne, la Compañía está consolidando sus marcas a nivel mundial mediante grandes historias y contenidos para todas las pantallas. Hasbro está comprometida a hacer del mundo un lugar mejor para los niños y sus familias a través de la responsabilidad social corporativa y la filantropía. Hasbro ocupó la posición nº 13 en la lista de los "100 Mejores Ciudadanos Corporativos" de 2019 de la revista CR Magazine, y ha sido nombrada una de las Compañías Más Éticas del Mundo por el Ethisphere Institute durante los últimos ocho años. Más información en</w:t>
      </w:r>
      <w:r>
        <w:rPr>
          <w:rFonts w:ascii="Times" w:hAnsi="Times" w:cs="Times"/>
          <w:sz w:val="20"/>
          <w:sz-cs w:val="20"/>
          <w:color w:val="0000FF"/>
        </w:rPr>
        <w:t xml:space="preserve"> </w:t>
      </w:r>
      <w:r>
        <w:rPr>
          <w:rFonts w:ascii="Times" w:hAnsi="Times" w:cs="Times"/>
          <w:sz w:val="20"/>
          <w:sz-cs w:val="20"/>
          <w:b/>
          <w:color w:val="0000FF"/>
        </w:rPr>
        <w:t xml:space="preserve">www.hasbro.com</w:t>
      </w:r>
      <w:r>
        <w:rPr>
          <w:rFonts w:ascii="Times" w:hAnsi="Times" w:cs="Times"/>
          <w:sz w:val="20"/>
          <w:sz-cs w:val="20"/>
          <w:color w:val="0000FF"/>
        </w:rPr>
        <w:t xml:space="preserve">.</w:t>
      </w:r>
      <w:r>
        <w:rPr>
          <w:rFonts w:ascii="Times" w:hAnsi="Times" w:cs="Times"/>
          <w:sz w:val="20"/>
          <w:sz-cs w:val="20"/>
          <w:b/>
          <w:u w:val="single"/>
          <w:color w:val="0000FF"/>
        </w:rPr>
        <w:t xml:space="preserve">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b/>
          <w:color w:val="2B2B2B"/>
        </w:rPr>
        <w:t xml:space="preserve">Síguenos en: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Facebook: </w:t>
      </w:r>
      <w:r>
        <w:rPr>
          <w:rFonts w:ascii="Times" w:hAnsi="Times" w:cs="Times"/>
          <w:sz w:val="20"/>
          <w:sz-cs w:val="20"/>
          <w:color w:val="0000FF"/>
        </w:rPr>
        <w:t xml:space="preserve">@MagicTheGathering.es </w:t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Twitter: </w:t>
      </w:r>
      <w:r>
        <w:rPr>
          <w:rFonts w:ascii="Times" w:hAnsi="Times" w:cs="Times"/>
          <w:sz w:val="20"/>
          <w:sz-cs w:val="20"/>
          <w:color w:val="0000FF"/>
        </w:rPr>
        <w:t xml:space="preserve">@wizards_magicES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Instagram: </w:t>
      </w:r>
      <w:r>
        <w:rPr>
          <w:rFonts w:ascii="Times" w:hAnsi="Times" w:cs="Times"/>
          <w:sz w:val="20"/>
          <w:sz-cs w:val="20"/>
          <w:color w:val="0000FF"/>
        </w:rPr>
        <w:t xml:space="preserve">wizards_magices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YouTube: </w:t>
      </w:r>
      <w:r>
        <w:rPr>
          <w:rFonts w:ascii="Times" w:hAnsi="Times" w:cs="Times"/>
          <w:sz w:val="20"/>
          <w:sz-cs w:val="20"/>
          <w:color w:val="0000FF"/>
        </w:rPr>
        <w:t xml:space="preserve">Magic: the Gathering - Español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b/>
        </w:rPr>
        <w:t xml:space="preserve">Contacto MX:</w:t>
      </w:r>
    </w:p>
    <w:p>
      <w:pPr>
        <w:jc w:val="both"/>
        <w:ind w:right="140"/>
      </w:pPr>
      <w:r>
        <w:rPr>
          <w:rFonts w:ascii="Times" w:hAnsi="Times" w:cs="Times"/>
          <w:sz w:val="20"/>
          <w:sz-cs w:val="20"/>
        </w:rPr>
        <w:t xml:space="preserve">Rosa Torres, Sr. Account Executive </w:t>
      </w:r>
    </w:p>
    <w:p>
      <w:pPr>
        <w:jc w:val="both"/>
        <w:ind w:right="140"/>
      </w:pPr>
      <w:r>
        <w:rPr>
          <w:rFonts w:ascii="Times" w:hAnsi="Times" w:cs="Times"/>
          <w:sz w:val="20"/>
          <w:sz-cs w:val="20"/>
        </w:rPr>
        <w:t xml:space="preserve">55 54 53 82 77</w:t>
        <w:tab/>
        <w:t xml:space="preserve">| </w:t>
      </w:r>
      <w:r>
        <w:rPr>
          <w:rFonts w:ascii="Times" w:hAnsi="Times" w:cs="Times"/>
          <w:sz w:val="20"/>
          <w:sz-cs w:val="20"/>
          <w:u w:val="single"/>
          <w:color w:val="1155CC"/>
        </w:rPr>
        <w:t xml:space="preserve">rosa.torres@another.co</w:t>
      </w:r>
      <w:r>
        <w:rPr>
          <w:rFonts w:ascii="Times" w:hAnsi="Times" w:cs="Times"/>
          <w:sz w:val="20"/>
          <w:sz-cs w:val="20"/>
        </w:rPr>
        <w:t xml:space="preserve">   </w:t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0"/>
          <w:sz-cs w:val="20"/>
        </w:rPr>
        <w:t xml:space="preserve">Salma Infante, PR Assistant </w:t>
      </w:r>
    </w:p>
    <w:p>
      <w:pPr>
        <w:jc w:val="both"/>
        <w:ind w:right="140"/>
      </w:pPr>
      <w:r>
        <w:rPr>
          <w:rFonts w:ascii="Times" w:hAnsi="Times" w:cs="Times"/>
          <w:sz w:val="20"/>
          <w:sz-cs w:val="20"/>
        </w:rPr>
        <w:t xml:space="preserve">55 72 14 13 44</w:t>
        <w:tab/>
        <w:t xml:space="preserve">| </w:t>
      </w:r>
      <w:r>
        <w:rPr>
          <w:rFonts w:ascii="Times" w:hAnsi="Times" w:cs="Times"/>
          <w:sz w:val="20"/>
          <w:sz-cs w:val="20"/>
          <w:u w:val="single"/>
          <w:color w:val="1155CC"/>
        </w:rPr>
        <w:t xml:space="preserve">salma.infante@another.co</w:t>
      </w:r>
      <w:r>
        <w:rPr>
          <w:rFonts w:ascii="Times" w:hAnsi="Times" w:cs="Times"/>
          <w:sz w:val="20"/>
          <w:sz-cs w:val="20"/>
        </w:rPr>
        <w:t xml:space="preserve">  </w:t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0"/>
          <w:sz-cs w:val="20"/>
          <w:b/>
        </w:rPr>
        <w:t xml:space="preserve">Contacto Chile:</w:t>
      </w:r>
    </w:p>
    <w:p>
      <w:pPr>
        <w:jc w:val="both"/>
        <w:ind w:right="140"/>
      </w:pPr>
      <w:r>
        <w:rPr>
          <w:rFonts w:ascii="Times" w:hAnsi="Times" w:cs="Times"/>
          <w:sz w:val="20"/>
          <w:sz-cs w:val="20"/>
        </w:rPr>
        <w:t xml:space="preserve">Tamara Marambio, Sr. Account Executive </w:t>
      </w:r>
    </w:p>
    <w:p>
      <w:pPr>
        <w:jc w:val="both"/>
        <w:ind w:right="140"/>
      </w:pPr>
      <w:r>
        <w:rPr>
          <w:rFonts w:ascii="Times" w:hAnsi="Times" w:cs="Times"/>
          <w:sz w:val="20"/>
          <w:sz-cs w:val="20"/>
        </w:rPr>
        <w:t xml:space="preserve">56 93-02-20-833  | amara.marambio@another.co </w:t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40"/>
      </w:pP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